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BCBC" w14:textId="77777777" w:rsidR="00D2597F" w:rsidRDefault="006C465A" w:rsidP="006C465A">
      <w:pPr>
        <w:pStyle w:val="NoSpacing"/>
        <w:jc w:val="right"/>
      </w:pPr>
      <w:r>
        <w:rPr>
          <w:noProof/>
          <w:lang w:eastAsia="en-GB"/>
        </w:rPr>
        <w:drawing>
          <wp:inline distT="0" distB="0" distL="0" distR="0" wp14:anchorId="43425581" wp14:editId="62D70C07">
            <wp:extent cx="2124075" cy="942975"/>
            <wp:effectExtent l="0" t="0" r="9525" b="9525"/>
            <wp:docPr id="1" name="Picture 1" descr="cid:bbd8352d-f635-4118-abd0-afd141f63ab5@thha.local"/>
            <wp:cNvGraphicFramePr/>
            <a:graphic xmlns:a="http://schemas.openxmlformats.org/drawingml/2006/main">
              <a:graphicData uri="http://schemas.openxmlformats.org/drawingml/2006/picture">
                <pic:pic xmlns:pic="http://schemas.openxmlformats.org/drawingml/2006/picture">
                  <pic:nvPicPr>
                    <pic:cNvPr id="1" name="Picture 1" descr="cid:bbd8352d-f635-4118-abd0-afd141f63ab5@thha.local"/>
                    <pic:cNvPicPr/>
                  </pic:nvPicPr>
                  <pic:blipFill>
                    <a:blip r:embed="rId7" r:link="rId8" cstate="print"/>
                    <a:srcRect/>
                    <a:stretch>
                      <a:fillRect/>
                    </a:stretch>
                  </pic:blipFill>
                  <pic:spPr bwMode="auto">
                    <a:xfrm>
                      <a:off x="0" y="0"/>
                      <a:ext cx="2124075" cy="942975"/>
                    </a:xfrm>
                    <a:prstGeom prst="rect">
                      <a:avLst/>
                    </a:prstGeom>
                    <a:noFill/>
                    <a:ln w="9525">
                      <a:noFill/>
                      <a:miter lim="800000"/>
                      <a:headEnd/>
                      <a:tailEnd/>
                    </a:ln>
                  </pic:spPr>
                </pic:pic>
              </a:graphicData>
            </a:graphic>
          </wp:inline>
        </w:drawing>
      </w:r>
    </w:p>
    <w:p w14:paraId="2AA42E66" w14:textId="77777777" w:rsidR="0056050F" w:rsidRDefault="0056050F" w:rsidP="006C465A">
      <w:pPr>
        <w:pStyle w:val="NoSpacing"/>
        <w:rPr>
          <w:sz w:val="24"/>
          <w:szCs w:val="24"/>
        </w:rPr>
      </w:pPr>
    </w:p>
    <w:p w14:paraId="7794B812" w14:textId="77777777" w:rsidR="006C465A" w:rsidRPr="006C22EF" w:rsidRDefault="006C465A" w:rsidP="006C465A">
      <w:pPr>
        <w:pStyle w:val="NoSpacing"/>
        <w:rPr>
          <w:sz w:val="24"/>
          <w:szCs w:val="24"/>
        </w:rPr>
      </w:pPr>
      <w:r w:rsidRPr="006C22EF">
        <w:rPr>
          <w:sz w:val="24"/>
          <w:szCs w:val="24"/>
        </w:rPr>
        <w:t>Scottish Housing Regulator</w:t>
      </w:r>
    </w:p>
    <w:p w14:paraId="1F669383" w14:textId="77777777" w:rsidR="006C465A" w:rsidRPr="006C22EF" w:rsidRDefault="006C465A" w:rsidP="006C465A">
      <w:pPr>
        <w:pStyle w:val="NoSpacing"/>
        <w:rPr>
          <w:sz w:val="24"/>
          <w:szCs w:val="24"/>
        </w:rPr>
      </w:pPr>
      <w:r w:rsidRPr="006C22EF">
        <w:rPr>
          <w:sz w:val="24"/>
          <w:szCs w:val="24"/>
        </w:rPr>
        <w:t>Buchanan House</w:t>
      </w:r>
    </w:p>
    <w:p w14:paraId="3D35BD91" w14:textId="77777777" w:rsidR="006C465A" w:rsidRPr="006C22EF" w:rsidRDefault="006C465A" w:rsidP="006C465A">
      <w:pPr>
        <w:pStyle w:val="NoSpacing"/>
        <w:rPr>
          <w:sz w:val="24"/>
          <w:szCs w:val="24"/>
        </w:rPr>
      </w:pPr>
      <w:r w:rsidRPr="006C22EF">
        <w:rPr>
          <w:sz w:val="24"/>
          <w:szCs w:val="24"/>
        </w:rPr>
        <w:t>58 Port Dundas Road</w:t>
      </w:r>
    </w:p>
    <w:p w14:paraId="51B62743" w14:textId="77777777" w:rsidR="006C465A" w:rsidRPr="006C22EF" w:rsidRDefault="006C465A" w:rsidP="006C465A">
      <w:pPr>
        <w:pStyle w:val="NoSpacing"/>
        <w:rPr>
          <w:sz w:val="24"/>
          <w:szCs w:val="24"/>
        </w:rPr>
      </w:pPr>
      <w:r w:rsidRPr="006C22EF">
        <w:rPr>
          <w:sz w:val="24"/>
          <w:szCs w:val="24"/>
        </w:rPr>
        <w:t>Glasgow</w:t>
      </w:r>
    </w:p>
    <w:p w14:paraId="540D0909" w14:textId="77777777" w:rsidR="006C465A" w:rsidRPr="006C22EF" w:rsidRDefault="006C465A" w:rsidP="006C465A">
      <w:pPr>
        <w:pStyle w:val="NoSpacing"/>
        <w:rPr>
          <w:sz w:val="24"/>
          <w:szCs w:val="24"/>
        </w:rPr>
      </w:pPr>
      <w:r w:rsidRPr="006C22EF">
        <w:rPr>
          <w:sz w:val="24"/>
          <w:szCs w:val="24"/>
        </w:rPr>
        <w:t>G4 OHF</w:t>
      </w:r>
    </w:p>
    <w:p w14:paraId="132073FE" w14:textId="77777777" w:rsidR="006C465A" w:rsidRPr="006C22EF" w:rsidRDefault="006C465A" w:rsidP="006C465A">
      <w:pPr>
        <w:pStyle w:val="NoSpacing"/>
        <w:rPr>
          <w:sz w:val="24"/>
          <w:szCs w:val="24"/>
        </w:rPr>
      </w:pPr>
    </w:p>
    <w:p w14:paraId="5F0E82F4" w14:textId="77777777" w:rsidR="006C465A" w:rsidRPr="006C22EF" w:rsidRDefault="006C465A" w:rsidP="006C465A">
      <w:pPr>
        <w:pStyle w:val="NoSpacing"/>
        <w:rPr>
          <w:sz w:val="24"/>
          <w:szCs w:val="24"/>
        </w:rPr>
      </w:pPr>
      <w:r w:rsidRPr="006C22EF">
        <w:rPr>
          <w:sz w:val="24"/>
          <w:szCs w:val="24"/>
        </w:rPr>
        <w:t>Monday 30</w:t>
      </w:r>
      <w:r w:rsidRPr="006C22EF">
        <w:rPr>
          <w:sz w:val="24"/>
          <w:szCs w:val="24"/>
          <w:vertAlign w:val="superscript"/>
        </w:rPr>
        <w:t>th</w:t>
      </w:r>
      <w:r w:rsidRPr="006C22EF">
        <w:rPr>
          <w:sz w:val="24"/>
          <w:szCs w:val="24"/>
        </w:rPr>
        <w:t xml:space="preserve"> November 2020</w:t>
      </w:r>
    </w:p>
    <w:p w14:paraId="4AC2C6DF" w14:textId="77777777" w:rsidR="006C465A" w:rsidRPr="006C22EF" w:rsidRDefault="006C465A" w:rsidP="006C465A">
      <w:pPr>
        <w:pStyle w:val="NoSpacing"/>
        <w:rPr>
          <w:sz w:val="24"/>
          <w:szCs w:val="24"/>
        </w:rPr>
      </w:pPr>
    </w:p>
    <w:p w14:paraId="2D5438FF" w14:textId="77777777" w:rsidR="006C465A" w:rsidRPr="006C22EF" w:rsidRDefault="006C465A" w:rsidP="006C465A">
      <w:pPr>
        <w:pStyle w:val="NoSpacing"/>
        <w:rPr>
          <w:sz w:val="24"/>
          <w:szCs w:val="24"/>
        </w:rPr>
      </w:pPr>
    </w:p>
    <w:p w14:paraId="131B5C44" w14:textId="77777777" w:rsidR="006C465A" w:rsidRPr="006C22EF" w:rsidRDefault="006C465A" w:rsidP="006C465A">
      <w:pPr>
        <w:pStyle w:val="NoSpacing"/>
        <w:rPr>
          <w:b/>
          <w:sz w:val="24"/>
          <w:szCs w:val="24"/>
        </w:rPr>
      </w:pPr>
      <w:r w:rsidRPr="006C22EF">
        <w:rPr>
          <w:b/>
          <w:sz w:val="24"/>
          <w:szCs w:val="24"/>
        </w:rPr>
        <w:t>Annual Assurance Statement 2020 on behalf of Trafalgar Housing Association Management Committee.</w:t>
      </w:r>
    </w:p>
    <w:p w14:paraId="1BAF5713" w14:textId="77777777" w:rsidR="006C465A" w:rsidRPr="006C22EF" w:rsidRDefault="006C465A" w:rsidP="006C465A">
      <w:pPr>
        <w:pStyle w:val="NoSpacing"/>
        <w:rPr>
          <w:b/>
          <w:sz w:val="24"/>
          <w:szCs w:val="24"/>
        </w:rPr>
      </w:pPr>
    </w:p>
    <w:p w14:paraId="30AC3A7C" w14:textId="77777777" w:rsidR="006C465A" w:rsidRPr="006C22EF" w:rsidRDefault="006C465A" w:rsidP="006C465A">
      <w:pPr>
        <w:pStyle w:val="NoSpacing"/>
        <w:rPr>
          <w:sz w:val="24"/>
          <w:szCs w:val="24"/>
        </w:rPr>
      </w:pPr>
      <w:r w:rsidRPr="006C22EF">
        <w:rPr>
          <w:sz w:val="24"/>
          <w:szCs w:val="24"/>
        </w:rPr>
        <w:t xml:space="preserve">As a result of </w:t>
      </w:r>
      <w:proofErr w:type="gramStart"/>
      <w:r w:rsidRPr="006C22EF">
        <w:rPr>
          <w:sz w:val="24"/>
          <w:szCs w:val="24"/>
        </w:rPr>
        <w:t>evidence based</w:t>
      </w:r>
      <w:proofErr w:type="gramEnd"/>
      <w:r w:rsidRPr="006C22EF">
        <w:rPr>
          <w:sz w:val="24"/>
          <w:szCs w:val="24"/>
        </w:rPr>
        <w:t xml:space="preserve"> reporting to our Management Committee, along with recent </w:t>
      </w:r>
      <w:r w:rsidR="000E5026" w:rsidRPr="006C22EF">
        <w:rPr>
          <w:sz w:val="24"/>
          <w:szCs w:val="24"/>
        </w:rPr>
        <w:t>re-assessment</w:t>
      </w:r>
      <w:r w:rsidRPr="006C22EF">
        <w:rPr>
          <w:sz w:val="24"/>
          <w:szCs w:val="24"/>
        </w:rPr>
        <w:t xml:space="preserve"> by our Internal Auditors, we can confirm to the best of our knowledge and belief that we have assurance of partial compliance with:</w:t>
      </w:r>
    </w:p>
    <w:p w14:paraId="5A4C84EE" w14:textId="77777777" w:rsidR="006C465A" w:rsidRPr="006C22EF" w:rsidRDefault="006C465A" w:rsidP="006C465A">
      <w:pPr>
        <w:pStyle w:val="NoSpacing"/>
        <w:rPr>
          <w:sz w:val="24"/>
          <w:szCs w:val="24"/>
        </w:rPr>
      </w:pPr>
    </w:p>
    <w:p w14:paraId="44948F27" w14:textId="77777777" w:rsidR="006C465A" w:rsidRPr="006C22EF" w:rsidRDefault="006C465A" w:rsidP="006C465A">
      <w:pPr>
        <w:pStyle w:val="NoSpacing"/>
        <w:numPr>
          <w:ilvl w:val="0"/>
          <w:numId w:val="1"/>
        </w:numPr>
        <w:rPr>
          <w:sz w:val="24"/>
          <w:szCs w:val="24"/>
        </w:rPr>
      </w:pPr>
      <w:r w:rsidRPr="006C22EF">
        <w:rPr>
          <w:sz w:val="24"/>
          <w:szCs w:val="24"/>
        </w:rPr>
        <w:t>Regulatory requirements set out in Section 3 of the Regulatory Framework.</w:t>
      </w:r>
    </w:p>
    <w:p w14:paraId="1244AC34" w14:textId="77777777" w:rsidR="006C465A" w:rsidRPr="006C22EF" w:rsidRDefault="006C465A" w:rsidP="006C465A">
      <w:pPr>
        <w:pStyle w:val="NoSpacing"/>
        <w:rPr>
          <w:sz w:val="24"/>
          <w:szCs w:val="24"/>
        </w:rPr>
      </w:pPr>
    </w:p>
    <w:p w14:paraId="6F8F02FB" w14:textId="77777777" w:rsidR="006C465A" w:rsidRPr="006C22EF" w:rsidRDefault="006C465A" w:rsidP="006C465A">
      <w:pPr>
        <w:pStyle w:val="NoSpacing"/>
        <w:numPr>
          <w:ilvl w:val="0"/>
          <w:numId w:val="1"/>
        </w:numPr>
        <w:rPr>
          <w:sz w:val="24"/>
          <w:szCs w:val="24"/>
        </w:rPr>
      </w:pPr>
      <w:r w:rsidRPr="006C22EF">
        <w:rPr>
          <w:sz w:val="24"/>
          <w:szCs w:val="24"/>
        </w:rPr>
        <w:t>Standards and outcomes in the Scottish Social Housing Charter.</w:t>
      </w:r>
    </w:p>
    <w:p w14:paraId="5C724AF2" w14:textId="77777777" w:rsidR="006C465A" w:rsidRPr="006C22EF" w:rsidRDefault="006C465A" w:rsidP="006C465A">
      <w:pPr>
        <w:pStyle w:val="NoSpacing"/>
        <w:rPr>
          <w:sz w:val="24"/>
          <w:szCs w:val="24"/>
        </w:rPr>
      </w:pPr>
    </w:p>
    <w:p w14:paraId="27B2182E" w14:textId="77777777" w:rsidR="006C465A" w:rsidRPr="006C22EF" w:rsidRDefault="006C465A" w:rsidP="006C465A">
      <w:pPr>
        <w:pStyle w:val="NoSpacing"/>
        <w:numPr>
          <w:ilvl w:val="0"/>
          <w:numId w:val="1"/>
        </w:numPr>
        <w:rPr>
          <w:sz w:val="24"/>
          <w:szCs w:val="24"/>
        </w:rPr>
      </w:pPr>
      <w:r w:rsidRPr="006C22EF">
        <w:rPr>
          <w:sz w:val="24"/>
          <w:szCs w:val="24"/>
        </w:rPr>
        <w:t>Legislative duties.</w:t>
      </w:r>
    </w:p>
    <w:p w14:paraId="7656769F" w14:textId="77777777" w:rsidR="006C465A" w:rsidRPr="006C22EF" w:rsidRDefault="006C465A" w:rsidP="006C465A">
      <w:pPr>
        <w:pStyle w:val="NoSpacing"/>
        <w:rPr>
          <w:sz w:val="24"/>
          <w:szCs w:val="24"/>
        </w:rPr>
      </w:pPr>
    </w:p>
    <w:p w14:paraId="6E11B0C3" w14:textId="77777777" w:rsidR="006C465A" w:rsidRPr="006C22EF" w:rsidRDefault="006C465A" w:rsidP="006C465A">
      <w:pPr>
        <w:pStyle w:val="NoSpacing"/>
        <w:numPr>
          <w:ilvl w:val="0"/>
          <w:numId w:val="1"/>
        </w:numPr>
        <w:rPr>
          <w:sz w:val="24"/>
          <w:szCs w:val="24"/>
        </w:rPr>
      </w:pPr>
      <w:r w:rsidRPr="006C22EF">
        <w:rPr>
          <w:sz w:val="24"/>
          <w:szCs w:val="24"/>
        </w:rPr>
        <w:t>The SHR Standards of Governance and Financial Management.</w:t>
      </w:r>
    </w:p>
    <w:p w14:paraId="37B7248C" w14:textId="77777777" w:rsidR="006C465A" w:rsidRPr="006C22EF" w:rsidRDefault="006C465A" w:rsidP="006C465A">
      <w:pPr>
        <w:pStyle w:val="NoSpacing"/>
        <w:rPr>
          <w:sz w:val="24"/>
          <w:szCs w:val="24"/>
        </w:rPr>
      </w:pPr>
    </w:p>
    <w:p w14:paraId="14924AE6" w14:textId="7A60BE28" w:rsidR="00795AF1" w:rsidRDefault="000E5026" w:rsidP="006C22EF">
      <w:pPr>
        <w:spacing w:after="0" w:line="240" w:lineRule="auto"/>
        <w:rPr>
          <w:rFonts w:cs="Arial"/>
          <w:bCs/>
          <w:color w:val="000000" w:themeColor="text1"/>
          <w:sz w:val="24"/>
          <w:szCs w:val="24"/>
        </w:rPr>
      </w:pPr>
      <w:r w:rsidRPr="006C22EF">
        <w:rPr>
          <w:rFonts w:cs="Arial"/>
          <w:bCs/>
          <w:color w:val="000000" w:themeColor="text1"/>
          <w:sz w:val="24"/>
          <w:szCs w:val="24"/>
        </w:rPr>
        <w:t>Our review identified that</w:t>
      </w:r>
      <w:r w:rsidR="00795AF1">
        <w:rPr>
          <w:rFonts w:cs="Arial"/>
          <w:bCs/>
          <w:color w:val="000000" w:themeColor="text1"/>
          <w:sz w:val="24"/>
          <w:szCs w:val="24"/>
        </w:rPr>
        <w:t>:</w:t>
      </w:r>
    </w:p>
    <w:p w14:paraId="6C6BECAE" w14:textId="77777777" w:rsidR="004D77FA" w:rsidRDefault="004D77FA" w:rsidP="006C22EF">
      <w:pPr>
        <w:spacing w:after="0" w:line="240" w:lineRule="auto"/>
        <w:rPr>
          <w:rFonts w:cs="Arial"/>
          <w:bCs/>
          <w:color w:val="000000" w:themeColor="text1"/>
          <w:sz w:val="24"/>
          <w:szCs w:val="24"/>
        </w:rPr>
      </w:pPr>
    </w:p>
    <w:p w14:paraId="0801E482" w14:textId="19C7579B" w:rsidR="000E5026" w:rsidRPr="00795AF1" w:rsidRDefault="00795AF1" w:rsidP="00795AF1">
      <w:pPr>
        <w:pStyle w:val="ListParagraph"/>
        <w:numPr>
          <w:ilvl w:val="0"/>
          <w:numId w:val="3"/>
        </w:numPr>
        <w:spacing w:after="0" w:line="240" w:lineRule="auto"/>
        <w:rPr>
          <w:rFonts w:cs="Arial"/>
          <w:bCs/>
          <w:color w:val="000000" w:themeColor="text1"/>
          <w:sz w:val="24"/>
          <w:szCs w:val="24"/>
        </w:rPr>
      </w:pPr>
      <w:r>
        <w:rPr>
          <w:rFonts w:cs="Arial"/>
          <w:bCs/>
          <w:color w:val="000000" w:themeColor="text1"/>
          <w:sz w:val="24"/>
          <w:szCs w:val="24"/>
        </w:rPr>
        <w:t>F</w:t>
      </w:r>
      <w:r w:rsidR="000E5026" w:rsidRPr="00795AF1">
        <w:rPr>
          <w:rFonts w:cs="Arial"/>
          <w:bCs/>
          <w:color w:val="000000" w:themeColor="text1"/>
          <w:sz w:val="24"/>
          <w:szCs w:val="24"/>
        </w:rPr>
        <w:t xml:space="preserve">or the majority of the required standards, there is sufficient evidence in place to confirm </w:t>
      </w:r>
      <w:proofErr w:type="gramStart"/>
      <w:r w:rsidR="000E5026" w:rsidRPr="00795AF1">
        <w:rPr>
          <w:rFonts w:cs="Arial"/>
          <w:bCs/>
          <w:color w:val="000000" w:themeColor="text1"/>
          <w:sz w:val="24"/>
          <w:szCs w:val="24"/>
        </w:rPr>
        <w:t>compliance;</w:t>
      </w:r>
      <w:proofErr w:type="gramEnd"/>
      <w:r w:rsidR="000E5026" w:rsidRPr="00795AF1">
        <w:rPr>
          <w:rFonts w:cs="Arial"/>
          <w:bCs/>
          <w:color w:val="000000" w:themeColor="text1"/>
          <w:sz w:val="24"/>
          <w:szCs w:val="24"/>
        </w:rPr>
        <w:t xml:space="preserve"> </w:t>
      </w:r>
    </w:p>
    <w:p w14:paraId="4BA7F3F1" w14:textId="77777777" w:rsidR="000E5026" w:rsidRPr="006C22EF" w:rsidRDefault="000E5026" w:rsidP="000E5026">
      <w:pPr>
        <w:pStyle w:val="ListParagraph"/>
        <w:spacing w:after="0" w:line="240" w:lineRule="auto"/>
        <w:rPr>
          <w:rFonts w:cs="Arial"/>
          <w:bCs/>
          <w:color w:val="000000" w:themeColor="text1"/>
          <w:sz w:val="24"/>
          <w:szCs w:val="24"/>
        </w:rPr>
      </w:pPr>
    </w:p>
    <w:p w14:paraId="05463E8B" w14:textId="77777777" w:rsidR="000E5026" w:rsidRPr="006C22EF" w:rsidRDefault="000E5026" w:rsidP="000E5026">
      <w:pPr>
        <w:pStyle w:val="ListParagraph"/>
        <w:numPr>
          <w:ilvl w:val="0"/>
          <w:numId w:val="2"/>
        </w:numPr>
        <w:spacing w:after="0" w:line="240" w:lineRule="auto"/>
        <w:rPr>
          <w:rFonts w:cs="Arial"/>
          <w:bCs/>
          <w:color w:val="000000" w:themeColor="text1"/>
          <w:sz w:val="24"/>
          <w:szCs w:val="24"/>
        </w:rPr>
      </w:pPr>
      <w:r w:rsidRPr="006C22EF">
        <w:rPr>
          <w:rFonts w:cs="Arial"/>
          <w:bCs/>
          <w:color w:val="000000" w:themeColor="text1"/>
          <w:sz w:val="24"/>
          <w:szCs w:val="24"/>
        </w:rPr>
        <w:t xml:space="preserve">Progress has been made against the identified areas for improvement which were identified in the 2019 audit </w:t>
      </w:r>
      <w:proofErr w:type="gramStart"/>
      <w:r w:rsidRPr="006C22EF">
        <w:rPr>
          <w:rFonts w:cs="Arial"/>
          <w:bCs/>
          <w:color w:val="000000" w:themeColor="text1"/>
          <w:sz w:val="24"/>
          <w:szCs w:val="24"/>
        </w:rPr>
        <w:t>review;</w:t>
      </w:r>
      <w:proofErr w:type="gramEnd"/>
      <w:r w:rsidRPr="006C22EF">
        <w:rPr>
          <w:rFonts w:cs="Arial"/>
          <w:bCs/>
          <w:color w:val="000000" w:themeColor="text1"/>
          <w:sz w:val="24"/>
          <w:szCs w:val="24"/>
        </w:rPr>
        <w:t xml:space="preserve"> and </w:t>
      </w:r>
    </w:p>
    <w:p w14:paraId="72DA13BD" w14:textId="77777777" w:rsidR="000E5026" w:rsidRPr="006C22EF" w:rsidRDefault="000E5026" w:rsidP="000E5026">
      <w:pPr>
        <w:pStyle w:val="ListParagraph"/>
        <w:rPr>
          <w:rFonts w:cs="Arial"/>
          <w:bCs/>
          <w:color w:val="000000" w:themeColor="text1"/>
          <w:sz w:val="24"/>
          <w:szCs w:val="24"/>
        </w:rPr>
      </w:pPr>
    </w:p>
    <w:p w14:paraId="3334312C" w14:textId="115582BD" w:rsidR="000E5026" w:rsidRPr="006C22EF" w:rsidRDefault="000E5026" w:rsidP="000E5026">
      <w:pPr>
        <w:pStyle w:val="ListParagraph"/>
        <w:numPr>
          <w:ilvl w:val="0"/>
          <w:numId w:val="2"/>
        </w:numPr>
        <w:spacing w:after="0" w:line="240" w:lineRule="auto"/>
        <w:rPr>
          <w:rFonts w:cs="Arial"/>
          <w:bCs/>
          <w:color w:val="000000" w:themeColor="text1"/>
          <w:sz w:val="24"/>
          <w:szCs w:val="24"/>
        </w:rPr>
      </w:pPr>
      <w:r w:rsidRPr="006C22EF">
        <w:rPr>
          <w:rFonts w:cs="Arial"/>
          <w:bCs/>
          <w:color w:val="000000" w:themeColor="text1"/>
          <w:sz w:val="24"/>
          <w:szCs w:val="24"/>
        </w:rPr>
        <w:t>Due to the impact of the Covid-19 pandemic not all agreed actions have been progressed timeously and as a result these actions will not be completed until there is a return to the office for all staff</w:t>
      </w:r>
      <w:r w:rsidR="00795AF1">
        <w:rPr>
          <w:rFonts w:cs="Arial"/>
          <w:bCs/>
          <w:color w:val="000000" w:themeColor="text1"/>
          <w:sz w:val="24"/>
          <w:szCs w:val="24"/>
        </w:rPr>
        <w:t>.</w:t>
      </w:r>
    </w:p>
    <w:p w14:paraId="1D8C08F3" w14:textId="0F7889FD" w:rsidR="000E5026" w:rsidRPr="00795AF1" w:rsidRDefault="000E5026" w:rsidP="00795AF1">
      <w:pPr>
        <w:spacing w:after="0" w:line="240" w:lineRule="auto"/>
        <w:rPr>
          <w:rFonts w:cs="Arial"/>
          <w:bCs/>
          <w:color w:val="000000" w:themeColor="text1"/>
          <w:sz w:val="24"/>
          <w:szCs w:val="24"/>
        </w:rPr>
      </w:pPr>
    </w:p>
    <w:p w14:paraId="20401770" w14:textId="77777777" w:rsidR="006C465A" w:rsidRPr="006C22EF" w:rsidRDefault="006C465A" w:rsidP="006C465A">
      <w:pPr>
        <w:pStyle w:val="NoSpacing"/>
        <w:rPr>
          <w:sz w:val="24"/>
          <w:szCs w:val="24"/>
        </w:rPr>
      </w:pPr>
      <w:r w:rsidRPr="006C22EF">
        <w:rPr>
          <w:sz w:val="24"/>
          <w:szCs w:val="24"/>
        </w:rPr>
        <w:t>Whilst we believe that there are no areas of material or significant non-compliance that require to be disclosed in this statement, through our internal audit and other independent assessment we have identified areas where we feel improvements can be achieved and an action plan will be developed by 3</w:t>
      </w:r>
      <w:r w:rsidR="000E5026" w:rsidRPr="006C22EF">
        <w:rPr>
          <w:sz w:val="24"/>
          <w:szCs w:val="24"/>
        </w:rPr>
        <w:t>1</w:t>
      </w:r>
      <w:r w:rsidR="000E5026" w:rsidRPr="006C22EF">
        <w:rPr>
          <w:sz w:val="24"/>
          <w:szCs w:val="24"/>
          <w:vertAlign w:val="superscript"/>
        </w:rPr>
        <w:t>st</w:t>
      </w:r>
      <w:r w:rsidR="000E5026" w:rsidRPr="006C22EF">
        <w:rPr>
          <w:sz w:val="24"/>
          <w:szCs w:val="24"/>
        </w:rPr>
        <w:t xml:space="preserve"> January 2021</w:t>
      </w:r>
      <w:r w:rsidRPr="006C22EF">
        <w:rPr>
          <w:sz w:val="24"/>
          <w:szCs w:val="24"/>
        </w:rPr>
        <w:t xml:space="preserve"> in partnership with our internal auditors and consultants to address these, with a clear timetable towards full compliance.</w:t>
      </w:r>
    </w:p>
    <w:p w14:paraId="55CFF043" w14:textId="77777777" w:rsidR="006C465A" w:rsidRPr="006C22EF" w:rsidRDefault="006C465A" w:rsidP="006C465A">
      <w:pPr>
        <w:pStyle w:val="NoSpacing"/>
        <w:rPr>
          <w:sz w:val="24"/>
          <w:szCs w:val="24"/>
        </w:rPr>
      </w:pPr>
    </w:p>
    <w:p w14:paraId="25412C9C" w14:textId="77777777" w:rsidR="006C465A" w:rsidRPr="006C22EF" w:rsidRDefault="006C465A" w:rsidP="006C465A">
      <w:pPr>
        <w:pStyle w:val="NoSpacing"/>
        <w:rPr>
          <w:sz w:val="24"/>
          <w:szCs w:val="24"/>
        </w:rPr>
      </w:pPr>
      <w:r w:rsidRPr="006C22EF">
        <w:rPr>
          <w:sz w:val="24"/>
          <w:szCs w:val="24"/>
        </w:rPr>
        <w:t>We undertake to notify the SHR should there be any supplementary information or changes to the assurances reported in this statement and will make this statement available to our tenants and stakeholders by publishing it on our website.</w:t>
      </w:r>
    </w:p>
    <w:p w14:paraId="50591039" w14:textId="77777777" w:rsidR="0056050F" w:rsidRPr="006C22EF" w:rsidRDefault="0056050F" w:rsidP="006C465A">
      <w:pPr>
        <w:pStyle w:val="NoSpacing"/>
        <w:rPr>
          <w:sz w:val="24"/>
          <w:szCs w:val="24"/>
        </w:rPr>
      </w:pPr>
    </w:p>
    <w:p w14:paraId="03D0335A" w14:textId="77777777" w:rsidR="0056050F" w:rsidRPr="006C22EF" w:rsidRDefault="0056050F" w:rsidP="006C465A">
      <w:pPr>
        <w:pStyle w:val="NoSpacing"/>
        <w:rPr>
          <w:sz w:val="24"/>
          <w:szCs w:val="24"/>
        </w:rPr>
      </w:pPr>
      <w:r w:rsidRPr="006C22EF">
        <w:rPr>
          <w:sz w:val="24"/>
          <w:szCs w:val="24"/>
        </w:rPr>
        <w:t>We approved our Annual Assurance Statement at the meeting of our Board on Monday 30</w:t>
      </w:r>
      <w:r w:rsidRPr="006C22EF">
        <w:rPr>
          <w:sz w:val="24"/>
          <w:szCs w:val="24"/>
          <w:vertAlign w:val="superscript"/>
        </w:rPr>
        <w:t>th</w:t>
      </w:r>
      <w:r w:rsidRPr="006C22EF">
        <w:rPr>
          <w:sz w:val="24"/>
          <w:szCs w:val="24"/>
        </w:rPr>
        <w:t xml:space="preserve"> November 2020.</w:t>
      </w:r>
    </w:p>
    <w:p w14:paraId="654EB299" w14:textId="77777777" w:rsidR="0056050F" w:rsidRPr="006C22EF" w:rsidRDefault="0056050F" w:rsidP="006C465A">
      <w:pPr>
        <w:pStyle w:val="NoSpacing"/>
        <w:rPr>
          <w:sz w:val="24"/>
          <w:szCs w:val="24"/>
        </w:rPr>
      </w:pPr>
    </w:p>
    <w:p w14:paraId="17268C8C" w14:textId="77777777" w:rsidR="0056050F" w:rsidRPr="006C22EF" w:rsidRDefault="0056050F" w:rsidP="006C465A">
      <w:pPr>
        <w:pStyle w:val="NoSpacing"/>
        <w:rPr>
          <w:sz w:val="24"/>
          <w:szCs w:val="24"/>
        </w:rPr>
      </w:pPr>
      <w:r w:rsidRPr="006C22EF">
        <w:rPr>
          <w:sz w:val="24"/>
          <w:szCs w:val="24"/>
        </w:rPr>
        <w:t>I sign this statement on behalf of our Management Committee.</w:t>
      </w:r>
    </w:p>
    <w:p w14:paraId="3CEA9F17" w14:textId="77777777" w:rsidR="0056050F" w:rsidRDefault="0056050F" w:rsidP="006C465A">
      <w:pPr>
        <w:pStyle w:val="NoSpacing"/>
        <w:rPr>
          <w:sz w:val="24"/>
          <w:szCs w:val="24"/>
        </w:rPr>
      </w:pPr>
    </w:p>
    <w:p w14:paraId="0FE61318" w14:textId="77777777" w:rsidR="0056050F" w:rsidRDefault="0056050F" w:rsidP="006C465A">
      <w:pPr>
        <w:pStyle w:val="NoSpacing"/>
        <w:rPr>
          <w:sz w:val="24"/>
          <w:szCs w:val="24"/>
        </w:rPr>
      </w:pPr>
    </w:p>
    <w:p w14:paraId="08773C1D" w14:textId="77777777" w:rsidR="0056050F" w:rsidRDefault="0056050F" w:rsidP="006C465A">
      <w:pPr>
        <w:pStyle w:val="NoSpacing"/>
        <w:rPr>
          <w:sz w:val="24"/>
          <w:szCs w:val="24"/>
        </w:rPr>
      </w:pPr>
      <w:r w:rsidRPr="0056050F">
        <w:rPr>
          <w:noProof/>
          <w:sz w:val="24"/>
          <w:szCs w:val="24"/>
          <w:lang w:eastAsia="en-GB"/>
        </w:rPr>
        <w:drawing>
          <wp:inline distT="0" distB="0" distL="0" distR="0" wp14:anchorId="6EF56466" wp14:editId="5719808F">
            <wp:extent cx="819150" cy="387350"/>
            <wp:effectExtent l="0" t="0" r="0" b="0"/>
            <wp:docPr id="2" name="Picture 2" descr="H:\Signatures\bitmaps\bernadette swindon sig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gnatures\bitmaps\bernadette swindon sig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387350"/>
                    </a:xfrm>
                    <a:prstGeom prst="rect">
                      <a:avLst/>
                    </a:prstGeom>
                    <a:noFill/>
                    <a:ln>
                      <a:noFill/>
                    </a:ln>
                  </pic:spPr>
                </pic:pic>
              </a:graphicData>
            </a:graphic>
          </wp:inline>
        </w:drawing>
      </w:r>
    </w:p>
    <w:p w14:paraId="6149E772" w14:textId="77777777" w:rsidR="0056050F" w:rsidRDefault="0056050F" w:rsidP="006C465A">
      <w:pPr>
        <w:pStyle w:val="NoSpacing"/>
        <w:rPr>
          <w:sz w:val="24"/>
          <w:szCs w:val="24"/>
        </w:rPr>
      </w:pPr>
    </w:p>
    <w:p w14:paraId="6B40E21E" w14:textId="77777777" w:rsidR="0056050F" w:rsidRPr="006C22EF" w:rsidRDefault="0056050F" w:rsidP="006C465A">
      <w:pPr>
        <w:pStyle w:val="NoSpacing"/>
        <w:rPr>
          <w:sz w:val="24"/>
          <w:szCs w:val="24"/>
        </w:rPr>
      </w:pPr>
      <w:r w:rsidRPr="006C22EF">
        <w:rPr>
          <w:sz w:val="24"/>
          <w:szCs w:val="24"/>
        </w:rPr>
        <w:t>Bernadette Swindon</w:t>
      </w:r>
    </w:p>
    <w:p w14:paraId="332F93B5" w14:textId="77777777" w:rsidR="0056050F" w:rsidRPr="006C22EF" w:rsidRDefault="0056050F" w:rsidP="006C465A">
      <w:pPr>
        <w:pStyle w:val="NoSpacing"/>
        <w:rPr>
          <w:sz w:val="24"/>
          <w:szCs w:val="24"/>
        </w:rPr>
      </w:pPr>
      <w:r w:rsidRPr="006C22EF">
        <w:rPr>
          <w:sz w:val="24"/>
          <w:szCs w:val="24"/>
        </w:rPr>
        <w:t>Chairperson</w:t>
      </w:r>
    </w:p>
    <w:sectPr w:rsidR="0056050F" w:rsidRPr="006C22EF" w:rsidSect="0056050F">
      <w:footerReference w:type="default" r:id="rId10"/>
      <w:pgSz w:w="11906" w:h="16838"/>
      <w:pgMar w:top="680"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CFE2B" w14:textId="77777777" w:rsidR="00F10E4C" w:rsidRDefault="00F10E4C" w:rsidP="006C22EF">
      <w:pPr>
        <w:spacing w:after="0" w:line="240" w:lineRule="auto"/>
      </w:pPr>
      <w:r>
        <w:separator/>
      </w:r>
    </w:p>
  </w:endnote>
  <w:endnote w:type="continuationSeparator" w:id="0">
    <w:p w14:paraId="14F47C49" w14:textId="77777777" w:rsidR="00F10E4C" w:rsidRDefault="00F10E4C" w:rsidP="006C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FB79" w14:textId="53AE0F60" w:rsidR="006C22EF" w:rsidRDefault="006C22EF" w:rsidP="006C22EF">
    <w:pPr>
      <w:pStyle w:val="Footer"/>
      <w:ind w:left="5760"/>
    </w:pPr>
    <w:r>
      <w:t>Trafalgar Housing Association Ltd</w:t>
    </w:r>
  </w:p>
  <w:p w14:paraId="5790ABAB" w14:textId="304E1EBC" w:rsidR="006C22EF" w:rsidRDefault="006C22EF" w:rsidP="006C22EF">
    <w:pPr>
      <w:pStyle w:val="Footer"/>
      <w:ind w:left="5760"/>
    </w:pPr>
    <w:r>
      <w:t>430(a) Dumbarton Road</w:t>
    </w:r>
  </w:p>
  <w:p w14:paraId="3FFDEC83" w14:textId="3AF54B6D" w:rsidR="006C22EF" w:rsidRDefault="006C22EF" w:rsidP="006C22EF">
    <w:pPr>
      <w:pStyle w:val="Footer"/>
      <w:ind w:left="5760"/>
    </w:pPr>
    <w:proofErr w:type="spellStart"/>
    <w:r>
      <w:t>Dalmuir</w:t>
    </w:r>
    <w:proofErr w:type="spellEnd"/>
  </w:p>
  <w:p w14:paraId="6F5B6824" w14:textId="49587DDB" w:rsidR="006C22EF" w:rsidRDefault="006C22EF" w:rsidP="006C22EF">
    <w:pPr>
      <w:pStyle w:val="Footer"/>
      <w:ind w:left="5760"/>
    </w:pPr>
    <w:r>
      <w:t>Clydebank</w:t>
    </w:r>
  </w:p>
  <w:p w14:paraId="62E103D6" w14:textId="723A2E6B" w:rsidR="006C22EF" w:rsidRDefault="006C22EF" w:rsidP="006C22EF">
    <w:pPr>
      <w:pStyle w:val="Footer"/>
      <w:ind w:left="5760"/>
    </w:pPr>
    <w:r>
      <w:t>G81 4DX</w:t>
    </w:r>
  </w:p>
  <w:p w14:paraId="3D13C06C" w14:textId="30FD189D" w:rsidR="006C22EF" w:rsidRDefault="006C22EF" w:rsidP="006C22EF">
    <w:pPr>
      <w:pStyle w:val="Footer"/>
      <w:ind w:left="5760"/>
    </w:pPr>
    <w:r>
      <w:t>Tel: 0141 952 4676</w:t>
    </w:r>
  </w:p>
  <w:p w14:paraId="78A60829" w14:textId="3D7971EB" w:rsidR="006C22EF" w:rsidRDefault="00F10E4C" w:rsidP="006C22EF">
    <w:pPr>
      <w:pStyle w:val="Footer"/>
      <w:ind w:left="5760"/>
    </w:pPr>
    <w:hyperlink r:id="rId1" w:history="1">
      <w:r w:rsidR="006C22EF" w:rsidRPr="00BA7E68">
        <w:rPr>
          <w:rStyle w:val="Hyperlink"/>
        </w:rPr>
        <w:t>www.trafalgarha.co.uk</w:t>
      </w:r>
    </w:hyperlink>
  </w:p>
  <w:p w14:paraId="771417D7" w14:textId="2EC02E44" w:rsidR="006C22EF" w:rsidRDefault="006C22EF" w:rsidP="006C22EF">
    <w:pPr>
      <w:pStyle w:val="Footer"/>
      <w:ind w:left="5760"/>
    </w:pPr>
    <w:r>
      <w:t>Scottish Charity SC038597</w:t>
    </w:r>
  </w:p>
  <w:p w14:paraId="41FE100F" w14:textId="22B9658C" w:rsidR="006C22EF" w:rsidRDefault="006C22EF" w:rsidP="006C22EF">
    <w:pPr>
      <w:pStyle w:val="Footer"/>
      <w:ind w:left="5760"/>
    </w:pPr>
    <w:r>
      <w:t>Registered under the Co-operative and Community Benefit Act 2014 (No. 2316 RS) and with the Scottish Housing Regulator (No. HAC 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A83BA" w14:textId="77777777" w:rsidR="00F10E4C" w:rsidRDefault="00F10E4C" w:rsidP="006C22EF">
      <w:pPr>
        <w:spacing w:after="0" w:line="240" w:lineRule="auto"/>
      </w:pPr>
      <w:r>
        <w:separator/>
      </w:r>
    </w:p>
  </w:footnote>
  <w:footnote w:type="continuationSeparator" w:id="0">
    <w:p w14:paraId="63EE5862" w14:textId="77777777" w:rsidR="00F10E4C" w:rsidRDefault="00F10E4C" w:rsidP="006C2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A602C"/>
    <w:multiLevelType w:val="hybridMultilevel"/>
    <w:tmpl w:val="A482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20171"/>
    <w:multiLevelType w:val="hybridMultilevel"/>
    <w:tmpl w:val="0A466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4D35038"/>
    <w:multiLevelType w:val="hybridMultilevel"/>
    <w:tmpl w:val="6B54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5A"/>
    <w:rsid w:val="000E5026"/>
    <w:rsid w:val="004D77FA"/>
    <w:rsid w:val="0056050F"/>
    <w:rsid w:val="006C22EF"/>
    <w:rsid w:val="006C465A"/>
    <w:rsid w:val="00795AF1"/>
    <w:rsid w:val="00933DE2"/>
    <w:rsid w:val="00D2597F"/>
    <w:rsid w:val="00F10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5392"/>
  <w15:chartTrackingRefBased/>
  <w15:docId w15:val="{1DBF4E85-3638-40F4-8258-2CD50130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65A"/>
    <w:pPr>
      <w:spacing w:after="0" w:line="240" w:lineRule="auto"/>
    </w:pPr>
  </w:style>
  <w:style w:type="paragraph" w:styleId="ListParagraph">
    <w:name w:val="List Paragraph"/>
    <w:basedOn w:val="Normal"/>
    <w:uiPriority w:val="34"/>
    <w:qFormat/>
    <w:rsid w:val="006C465A"/>
    <w:pPr>
      <w:ind w:left="720"/>
      <w:contextualSpacing/>
    </w:pPr>
  </w:style>
  <w:style w:type="paragraph" w:styleId="Header">
    <w:name w:val="header"/>
    <w:basedOn w:val="Normal"/>
    <w:link w:val="HeaderChar"/>
    <w:uiPriority w:val="99"/>
    <w:unhideWhenUsed/>
    <w:rsid w:val="006C2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2EF"/>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character" w:styleId="Hyperlink">
    <w:name w:val="Hyperlink"/>
    <w:basedOn w:val="DefaultParagraphFont"/>
    <w:uiPriority w:val="99"/>
    <w:unhideWhenUsed/>
    <w:rsid w:val="006C22EF"/>
    <w:rPr>
      <w:color w:val="0000FF" w:themeColor="hyperlink"/>
      <w:u w:val="single"/>
    </w:rPr>
  </w:style>
  <w:style w:type="character" w:styleId="UnresolvedMention">
    <w:name w:val="Unresolved Mention"/>
    <w:basedOn w:val="DefaultParagraphFont"/>
    <w:uiPriority w:val="99"/>
    <w:semiHidden/>
    <w:unhideWhenUsed/>
    <w:rsid w:val="006C2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bbd8352d-f635-4118-abd0-afd141f63ab5@thha.loc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trafalgar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Pattison</dc:creator>
  <cp:keywords/>
  <dc:description/>
  <cp:lastModifiedBy>Graeme Bruce</cp:lastModifiedBy>
  <cp:revision>4</cp:revision>
  <dcterms:created xsi:type="dcterms:W3CDTF">2020-11-30T20:51:00Z</dcterms:created>
  <dcterms:modified xsi:type="dcterms:W3CDTF">2020-11-30T20:57:00Z</dcterms:modified>
</cp:coreProperties>
</file>